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6F1" w:rsidRDefault="00B02A3F">
      <w:pPr>
        <w:rPr>
          <w:rFonts w:ascii="Arial" w:hAnsi="Arial" w:cs="Arial"/>
          <w:sz w:val="24"/>
        </w:rPr>
      </w:pPr>
      <w:r>
        <w:rPr>
          <w:rFonts w:ascii="Arial" w:hAnsi="Arial" w:cs="Arial"/>
          <w:sz w:val="24"/>
        </w:rPr>
        <w:t>Data</w:t>
      </w:r>
      <w:r w:rsidR="00A3130C">
        <w:rPr>
          <w:rFonts w:ascii="Arial" w:hAnsi="Arial" w:cs="Arial"/>
          <w:sz w:val="24"/>
        </w:rPr>
        <w:t xml:space="preserve"> Discussion</w:t>
      </w:r>
    </w:p>
    <w:p w:rsidR="00B02A3F" w:rsidRDefault="00B02A3F" w:rsidP="00B02A3F">
      <w:pPr>
        <w:pStyle w:val="ListParagraph"/>
        <w:numPr>
          <w:ilvl w:val="0"/>
          <w:numId w:val="1"/>
        </w:numPr>
        <w:rPr>
          <w:rFonts w:ascii="Arial" w:hAnsi="Arial" w:cs="Arial"/>
          <w:sz w:val="24"/>
        </w:rPr>
      </w:pPr>
      <w:r>
        <w:rPr>
          <w:rFonts w:ascii="Arial" w:hAnsi="Arial" w:cs="Arial"/>
          <w:sz w:val="24"/>
        </w:rPr>
        <w:t>Look for 2018-2019 data instead of 2017-2018 (this is a change)</w:t>
      </w:r>
    </w:p>
    <w:p w:rsidR="00B02A3F" w:rsidRDefault="00B02A3F" w:rsidP="00B02A3F">
      <w:pPr>
        <w:pStyle w:val="ListParagraph"/>
        <w:numPr>
          <w:ilvl w:val="0"/>
          <w:numId w:val="1"/>
        </w:numPr>
        <w:rPr>
          <w:rFonts w:ascii="Arial" w:hAnsi="Arial" w:cs="Arial"/>
          <w:sz w:val="24"/>
        </w:rPr>
      </w:pPr>
      <w:r>
        <w:rPr>
          <w:rFonts w:ascii="Arial" w:hAnsi="Arial" w:cs="Arial"/>
          <w:sz w:val="24"/>
        </w:rPr>
        <w:t>Where to find data</w:t>
      </w:r>
    </w:p>
    <w:p w:rsidR="00B02A3F" w:rsidRDefault="00B02A3F" w:rsidP="00B02A3F">
      <w:pPr>
        <w:pStyle w:val="ListParagraph"/>
        <w:numPr>
          <w:ilvl w:val="1"/>
          <w:numId w:val="1"/>
        </w:numPr>
        <w:rPr>
          <w:rFonts w:ascii="Arial" w:hAnsi="Arial" w:cs="Arial"/>
          <w:sz w:val="24"/>
        </w:rPr>
      </w:pPr>
      <w:r>
        <w:rPr>
          <w:rFonts w:ascii="Arial" w:hAnsi="Arial" w:cs="Arial"/>
          <w:sz w:val="24"/>
        </w:rPr>
        <w:t>0-2</w:t>
      </w:r>
    </w:p>
    <w:p w:rsidR="00B02A3F" w:rsidRDefault="00B02A3F" w:rsidP="00B02A3F">
      <w:pPr>
        <w:pStyle w:val="ListParagraph"/>
        <w:numPr>
          <w:ilvl w:val="2"/>
          <w:numId w:val="1"/>
        </w:numPr>
        <w:rPr>
          <w:rFonts w:ascii="Arial" w:hAnsi="Arial" w:cs="Arial"/>
          <w:sz w:val="24"/>
        </w:rPr>
      </w:pPr>
      <w:r>
        <w:rPr>
          <w:rFonts w:ascii="Arial" w:hAnsi="Arial" w:cs="Arial"/>
          <w:sz w:val="24"/>
        </w:rPr>
        <w:t>Regional Center</w:t>
      </w:r>
    </w:p>
    <w:p w:rsidR="00B02A3F" w:rsidRDefault="00B02A3F" w:rsidP="00B02A3F">
      <w:pPr>
        <w:pStyle w:val="ListParagraph"/>
        <w:numPr>
          <w:ilvl w:val="2"/>
          <w:numId w:val="1"/>
        </w:numPr>
        <w:rPr>
          <w:rFonts w:ascii="Arial" w:hAnsi="Arial" w:cs="Arial"/>
          <w:sz w:val="24"/>
        </w:rPr>
      </w:pPr>
      <w:r>
        <w:rPr>
          <w:rFonts w:ascii="Arial" w:hAnsi="Arial" w:cs="Arial"/>
          <w:sz w:val="24"/>
        </w:rPr>
        <w:t>SELPA’s for school district programs</w:t>
      </w:r>
    </w:p>
    <w:p w:rsidR="00B02A3F" w:rsidRDefault="00B02A3F" w:rsidP="00B02A3F">
      <w:pPr>
        <w:pStyle w:val="ListParagraph"/>
        <w:numPr>
          <w:ilvl w:val="2"/>
          <w:numId w:val="1"/>
        </w:numPr>
        <w:rPr>
          <w:rFonts w:ascii="Arial" w:hAnsi="Arial" w:cs="Arial"/>
          <w:sz w:val="24"/>
        </w:rPr>
      </w:pPr>
      <w:r>
        <w:rPr>
          <w:rFonts w:ascii="Arial" w:hAnsi="Arial" w:cs="Arial"/>
          <w:sz w:val="24"/>
        </w:rPr>
        <w:t>Some children served by both programs will need to get names, birthdates. Someone in Early Start may have confidentiality agreements that allow for info sharing (maybe intake coordinator at regional center)</w:t>
      </w:r>
    </w:p>
    <w:p w:rsidR="00B02A3F" w:rsidRDefault="00B02A3F" w:rsidP="00B02A3F">
      <w:pPr>
        <w:pStyle w:val="ListParagraph"/>
        <w:numPr>
          <w:ilvl w:val="2"/>
          <w:numId w:val="1"/>
        </w:numPr>
        <w:rPr>
          <w:rFonts w:ascii="Arial" w:hAnsi="Arial" w:cs="Arial"/>
          <w:sz w:val="24"/>
        </w:rPr>
      </w:pPr>
      <w:r>
        <w:rPr>
          <w:rFonts w:ascii="Arial" w:hAnsi="Arial" w:cs="Arial"/>
          <w:sz w:val="24"/>
        </w:rPr>
        <w:t>SELPA December 2018 data.</w:t>
      </w:r>
    </w:p>
    <w:p w:rsidR="00B02A3F" w:rsidRDefault="00B02A3F" w:rsidP="00B02A3F">
      <w:pPr>
        <w:pStyle w:val="ListParagraph"/>
        <w:numPr>
          <w:ilvl w:val="1"/>
          <w:numId w:val="1"/>
        </w:numPr>
        <w:rPr>
          <w:rFonts w:ascii="Arial" w:hAnsi="Arial" w:cs="Arial"/>
          <w:sz w:val="24"/>
        </w:rPr>
      </w:pPr>
      <w:r>
        <w:rPr>
          <w:rFonts w:ascii="Arial" w:hAnsi="Arial" w:cs="Arial"/>
          <w:sz w:val="24"/>
        </w:rPr>
        <w:t>3-5</w:t>
      </w:r>
    </w:p>
    <w:p w:rsidR="00B02A3F" w:rsidRDefault="00B02A3F" w:rsidP="00B02A3F">
      <w:pPr>
        <w:pStyle w:val="ListParagraph"/>
        <w:numPr>
          <w:ilvl w:val="2"/>
          <w:numId w:val="1"/>
        </w:numPr>
        <w:rPr>
          <w:rFonts w:ascii="Arial" w:hAnsi="Arial" w:cs="Arial"/>
          <w:sz w:val="24"/>
        </w:rPr>
      </w:pPr>
      <w:r>
        <w:rPr>
          <w:rFonts w:ascii="Arial" w:hAnsi="Arial" w:cs="Arial"/>
          <w:sz w:val="24"/>
        </w:rPr>
        <w:t>SELPA will have this data</w:t>
      </w:r>
    </w:p>
    <w:p w:rsidR="00B02A3F" w:rsidRDefault="00B02A3F" w:rsidP="00B02A3F">
      <w:pPr>
        <w:pStyle w:val="ListParagraph"/>
        <w:numPr>
          <w:ilvl w:val="0"/>
          <w:numId w:val="1"/>
        </w:numPr>
        <w:rPr>
          <w:rFonts w:ascii="Arial" w:hAnsi="Arial" w:cs="Arial"/>
          <w:sz w:val="24"/>
        </w:rPr>
      </w:pPr>
      <w:r>
        <w:rPr>
          <w:rFonts w:ascii="Arial" w:hAnsi="Arial" w:cs="Arial"/>
          <w:sz w:val="24"/>
        </w:rPr>
        <w:t>Table 2</w:t>
      </w:r>
    </w:p>
    <w:p w:rsidR="00B02A3F" w:rsidRDefault="00B02A3F" w:rsidP="00B02A3F">
      <w:pPr>
        <w:pStyle w:val="ListParagraph"/>
        <w:numPr>
          <w:ilvl w:val="1"/>
          <w:numId w:val="1"/>
        </w:numPr>
        <w:rPr>
          <w:rFonts w:ascii="Arial" w:hAnsi="Arial" w:cs="Arial"/>
          <w:sz w:val="24"/>
        </w:rPr>
      </w:pPr>
      <w:r>
        <w:rPr>
          <w:rFonts w:ascii="Arial" w:hAnsi="Arial" w:cs="Arial"/>
          <w:sz w:val="24"/>
        </w:rPr>
        <w:t>Send surveys to these</w:t>
      </w:r>
      <w:r w:rsidR="001630A1">
        <w:rPr>
          <w:rFonts w:ascii="Arial" w:hAnsi="Arial" w:cs="Arial"/>
          <w:sz w:val="24"/>
        </w:rPr>
        <w:t xml:space="preserve"> agencies (Susy will send the form she uses)</w:t>
      </w:r>
    </w:p>
    <w:p w:rsidR="001630A1" w:rsidRDefault="001630A1" w:rsidP="00B02A3F">
      <w:pPr>
        <w:pStyle w:val="ListParagraph"/>
        <w:numPr>
          <w:ilvl w:val="1"/>
          <w:numId w:val="1"/>
        </w:numPr>
        <w:rPr>
          <w:rFonts w:ascii="Arial" w:hAnsi="Arial" w:cs="Arial"/>
          <w:sz w:val="24"/>
        </w:rPr>
      </w:pPr>
      <w:r>
        <w:rPr>
          <w:rFonts w:ascii="Arial" w:hAnsi="Arial" w:cs="Arial"/>
          <w:sz w:val="24"/>
        </w:rPr>
        <w:t>You may not have a tribal child care in your county – look online for tribes that are in your county and contact them.</w:t>
      </w:r>
    </w:p>
    <w:p w:rsidR="001630A1" w:rsidRDefault="001630A1" w:rsidP="00B02A3F">
      <w:pPr>
        <w:pStyle w:val="ListParagraph"/>
        <w:numPr>
          <w:ilvl w:val="1"/>
          <w:numId w:val="1"/>
        </w:numPr>
        <w:rPr>
          <w:rFonts w:ascii="Arial" w:hAnsi="Arial" w:cs="Arial"/>
          <w:sz w:val="24"/>
        </w:rPr>
      </w:pPr>
      <w:r>
        <w:rPr>
          <w:rFonts w:ascii="Arial" w:hAnsi="Arial" w:cs="Arial"/>
          <w:sz w:val="24"/>
        </w:rPr>
        <w:t>Voucher – Resource and referral agency; Alternative Payment Providers</w:t>
      </w:r>
    </w:p>
    <w:p w:rsidR="001630A1" w:rsidRDefault="001630A1" w:rsidP="00B02A3F">
      <w:pPr>
        <w:pStyle w:val="ListParagraph"/>
        <w:numPr>
          <w:ilvl w:val="1"/>
          <w:numId w:val="1"/>
        </w:numPr>
        <w:rPr>
          <w:rFonts w:ascii="Arial" w:hAnsi="Arial" w:cs="Arial"/>
          <w:sz w:val="24"/>
        </w:rPr>
      </w:pPr>
      <w:r>
        <w:rPr>
          <w:rFonts w:ascii="Arial" w:hAnsi="Arial" w:cs="Arial"/>
          <w:sz w:val="24"/>
        </w:rPr>
        <w:t>Private Childcare Providers</w:t>
      </w:r>
    </w:p>
    <w:p w:rsidR="001630A1" w:rsidRDefault="001630A1" w:rsidP="001630A1">
      <w:pPr>
        <w:pStyle w:val="ListParagraph"/>
        <w:numPr>
          <w:ilvl w:val="2"/>
          <w:numId w:val="1"/>
        </w:numPr>
        <w:rPr>
          <w:rFonts w:ascii="Arial" w:hAnsi="Arial" w:cs="Arial"/>
          <w:sz w:val="24"/>
        </w:rPr>
      </w:pPr>
      <w:r>
        <w:rPr>
          <w:rFonts w:ascii="Arial" w:hAnsi="Arial" w:cs="Arial"/>
          <w:sz w:val="24"/>
        </w:rPr>
        <w:t>SELPA (from IEP’s); cross check with voucher folks</w:t>
      </w:r>
    </w:p>
    <w:p w:rsidR="001630A1" w:rsidRDefault="001630A1" w:rsidP="001630A1">
      <w:pPr>
        <w:pStyle w:val="ListParagraph"/>
        <w:numPr>
          <w:ilvl w:val="2"/>
          <w:numId w:val="1"/>
        </w:numPr>
        <w:rPr>
          <w:rFonts w:ascii="Arial" w:hAnsi="Arial" w:cs="Arial"/>
          <w:sz w:val="24"/>
        </w:rPr>
      </w:pPr>
      <w:r>
        <w:rPr>
          <w:rFonts w:ascii="Arial" w:hAnsi="Arial" w:cs="Arial"/>
          <w:sz w:val="24"/>
        </w:rPr>
        <w:t>Family Childcare setting is different from Family Child Care Homes education network</w:t>
      </w:r>
    </w:p>
    <w:p w:rsidR="001630A1" w:rsidRDefault="001630A1" w:rsidP="001630A1">
      <w:pPr>
        <w:pStyle w:val="ListParagraph"/>
        <w:numPr>
          <w:ilvl w:val="2"/>
          <w:numId w:val="1"/>
        </w:numPr>
        <w:rPr>
          <w:rFonts w:ascii="Arial" w:hAnsi="Arial" w:cs="Arial"/>
          <w:sz w:val="24"/>
        </w:rPr>
      </w:pPr>
      <w:r>
        <w:rPr>
          <w:rFonts w:ascii="Arial" w:hAnsi="Arial" w:cs="Arial"/>
          <w:sz w:val="24"/>
        </w:rPr>
        <w:t>Use “other” for kids with no data</w:t>
      </w:r>
    </w:p>
    <w:p w:rsidR="001630A1" w:rsidRDefault="001630A1" w:rsidP="001630A1">
      <w:pPr>
        <w:pStyle w:val="ListParagraph"/>
        <w:numPr>
          <w:ilvl w:val="0"/>
          <w:numId w:val="1"/>
        </w:numPr>
        <w:rPr>
          <w:rFonts w:ascii="Arial" w:hAnsi="Arial" w:cs="Arial"/>
          <w:sz w:val="24"/>
        </w:rPr>
      </w:pPr>
      <w:r>
        <w:rPr>
          <w:rFonts w:ascii="Arial" w:hAnsi="Arial" w:cs="Arial"/>
          <w:sz w:val="24"/>
        </w:rPr>
        <w:t>Table 3</w:t>
      </w:r>
    </w:p>
    <w:p w:rsidR="001630A1" w:rsidRDefault="001630A1" w:rsidP="001630A1">
      <w:pPr>
        <w:pStyle w:val="ListParagraph"/>
        <w:numPr>
          <w:ilvl w:val="1"/>
          <w:numId w:val="1"/>
        </w:numPr>
        <w:rPr>
          <w:rFonts w:ascii="Arial" w:hAnsi="Arial" w:cs="Arial"/>
          <w:sz w:val="24"/>
        </w:rPr>
      </w:pPr>
      <w:r>
        <w:rPr>
          <w:rFonts w:ascii="Arial" w:hAnsi="Arial" w:cs="Arial"/>
          <w:sz w:val="24"/>
        </w:rPr>
        <w:t>Your increase will depend upon your baseline</w:t>
      </w:r>
    </w:p>
    <w:p w:rsidR="001630A1" w:rsidRDefault="001630A1" w:rsidP="001630A1">
      <w:pPr>
        <w:pStyle w:val="ListParagraph"/>
        <w:numPr>
          <w:ilvl w:val="1"/>
          <w:numId w:val="1"/>
        </w:numPr>
        <w:rPr>
          <w:rFonts w:ascii="Arial" w:hAnsi="Arial" w:cs="Arial"/>
          <w:sz w:val="24"/>
        </w:rPr>
      </w:pPr>
      <w:r>
        <w:rPr>
          <w:rFonts w:ascii="Arial" w:hAnsi="Arial" w:cs="Arial"/>
          <w:sz w:val="24"/>
        </w:rPr>
        <w:t>If already high your increase will probably be less than if your baseline number are low</w:t>
      </w:r>
    </w:p>
    <w:p w:rsidR="001630A1" w:rsidRDefault="001630A1" w:rsidP="001630A1">
      <w:pPr>
        <w:pStyle w:val="ListParagraph"/>
        <w:numPr>
          <w:ilvl w:val="1"/>
          <w:numId w:val="1"/>
        </w:numPr>
        <w:rPr>
          <w:rFonts w:ascii="Arial" w:hAnsi="Arial" w:cs="Arial"/>
          <w:sz w:val="24"/>
        </w:rPr>
      </w:pPr>
      <w:r>
        <w:rPr>
          <w:rFonts w:ascii="Arial" w:hAnsi="Arial" w:cs="Arial"/>
          <w:sz w:val="24"/>
        </w:rPr>
        <w:t>Maybe 5-10% a year (40%)</w:t>
      </w:r>
    </w:p>
    <w:p w:rsidR="001630A1" w:rsidRPr="00B02A3F" w:rsidRDefault="001630A1" w:rsidP="001630A1">
      <w:pPr>
        <w:pStyle w:val="ListParagraph"/>
        <w:numPr>
          <w:ilvl w:val="1"/>
          <w:numId w:val="1"/>
        </w:numPr>
        <w:rPr>
          <w:rFonts w:ascii="Arial" w:hAnsi="Arial" w:cs="Arial"/>
          <w:sz w:val="24"/>
        </w:rPr>
      </w:pPr>
      <w:r>
        <w:rPr>
          <w:rFonts w:ascii="Arial" w:hAnsi="Arial" w:cs="Arial"/>
          <w:sz w:val="24"/>
        </w:rPr>
        <w:t>Maybe less in first couple of years and the more in final 2 years.</w:t>
      </w:r>
      <w:bookmarkStart w:id="0" w:name="_GoBack"/>
      <w:bookmarkEnd w:id="0"/>
    </w:p>
    <w:sectPr w:rsidR="001630A1" w:rsidRPr="00B02A3F" w:rsidSect="00B02A3F">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B6F74"/>
    <w:multiLevelType w:val="hybridMultilevel"/>
    <w:tmpl w:val="23C24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compat/>
  <w:rsids>
    <w:rsidRoot w:val="00B02A3F"/>
    <w:rsid w:val="000E2C8B"/>
    <w:rsid w:val="001630A1"/>
    <w:rsid w:val="00204AC5"/>
    <w:rsid w:val="002A7578"/>
    <w:rsid w:val="00A3130C"/>
    <w:rsid w:val="00B02A3F"/>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C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02A3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159</Words>
  <Characters>909</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Melody Burdett</dc:creator>
  <cp:keywords/>
  <dc:description/>
  <cp:lastModifiedBy>Kathy</cp:lastModifiedBy>
  <cp:revision>2</cp:revision>
  <dcterms:created xsi:type="dcterms:W3CDTF">2019-08-16T17:20:00Z</dcterms:created>
  <dcterms:modified xsi:type="dcterms:W3CDTF">2020-06-27T20:13:00Z</dcterms:modified>
</cp:coreProperties>
</file>